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Название"/>
        <w:rPr>
          <w:outline w:val="0"/>
          <w:color w:val="800000"/>
          <w:sz w:val="36"/>
          <w:szCs w:val="36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rPr>
          <w:outline w:val="0"/>
          <w:color w:val="800000"/>
          <w:sz w:val="36"/>
          <w:szCs w:val="36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rPr>
          <w:b w:val="0"/>
          <w:bCs w:val="0"/>
          <w:sz w:val="28"/>
          <w:szCs w:val="28"/>
        </w:rPr>
      </w:pPr>
      <w:r>
        <w:rPr>
          <w:b w:val="0"/>
          <w:bCs w:val="0"/>
          <w:outline w:val="0"/>
          <w:color w:val="800000"/>
          <w:sz w:val="36"/>
          <w:szCs w:val="36"/>
          <w:u w:color="800000"/>
          <w:rtl w:val="0"/>
          <w:lang w:val="ru-RU"/>
          <w14:textFill>
            <w14:solidFill>
              <w14:srgbClr w14:val="800000"/>
            </w14:solidFill>
          </w14:textFill>
        </w:rPr>
        <w:t xml:space="preserve">                                                                                                </w:t>
      </w:r>
      <w:r>
        <w:rPr>
          <w:b w:val="0"/>
          <w:bCs w:val="0"/>
          <w:sz w:val="28"/>
          <w:szCs w:val="28"/>
          <w:rtl w:val="0"/>
          <w:lang w:val="ru-RU"/>
        </w:rPr>
        <w:t>Проект</w:t>
      </w:r>
    </w:p>
    <w:p>
      <w:pPr>
        <w:pStyle w:val="Название"/>
        <w:rPr>
          <w:outline w:val="0"/>
          <w:color w:val="800000"/>
          <w:sz w:val="36"/>
          <w:szCs w:val="36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rPr>
          <w:outline w:val="0"/>
          <w:color w:val="800000"/>
          <w:sz w:val="36"/>
          <w:szCs w:val="36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Обычный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АППАРАТ СОВЕТА ДЕПУТАТОВ </w:t>
      </w:r>
    </w:p>
    <w:p>
      <w:pPr>
        <w:pStyle w:val="Обычный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ВНУТРИГОРОДСКОГО МУНИЦИПАЛЬНОГО ОБРАЗОВАНИЯ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</w:p>
    <w:p>
      <w:pPr>
        <w:pStyle w:val="Обычный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МУНИЦИПАЛЬНОГО ОКРУГА ИВАНОВСКОЕ В ГОРОДЕ МОСКВЕ</w:t>
      </w:r>
    </w:p>
    <w:p>
      <w:pPr>
        <w:pStyle w:val="Обычный"/>
        <w:spacing w:line="276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ПОСТАНОВЛЕНИЕ</w:t>
      </w:r>
    </w:p>
    <w:p>
      <w:pPr>
        <w:pStyle w:val="Стандартный 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494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Стандартный 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494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Стандартный 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494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 порядке составления и ведения кассового плана исполнения бюджета внутригородского муниципального образования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муниципального округа Ивановское в городе Москве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ый 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217.1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Бюджетного кодекса Российской Федерации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Стандартный HTML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Утвердить Порядок составления и ведения кассового плана исполнения бюджета внутригородского муниципального образования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муниципального округа Ивановское в городе Москве согласно приложению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Стандартный HTML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Признать утратившим силу постановление аппарата Совета депутатов муниципального округа Ивановское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года 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02-04-02/4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 порядке составления и ведения кассового плана исполнения бюджета муниципального округа Ивановское»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Стандартный HTML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"http://www.mo"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Style w:val="Нет"/>
          <w:rFonts w:ascii="Times New Roman" w:hAnsi="Times New Roman"/>
          <w:sz w:val="28"/>
          <w:szCs w:val="28"/>
          <w:rtl w:val="0"/>
          <w:lang w:val="en-US"/>
        </w:rPr>
        <w:t>ivanovskoe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8"/>
          <w:szCs w:val="28"/>
          <w:rtl w:val="0"/>
          <w:lang w:val="en-US"/>
        </w:rPr>
        <w:t>ru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Глава внутригородского муниципального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образования – муниципального округа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Ивановское в городе Москве                                                                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Громов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Нет"/>
          <w:rFonts w:ascii="Times New Roman" w:cs="Times New Roman" w:hAnsi="Times New Roman" w:eastAsia="Times New Roman"/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Название"/>
        <w:jc w:val="left"/>
        <w:rPr>
          <w:rStyle w:val="Нет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Нет"/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                                                                                         </w:t>
      </w:r>
    </w:p>
    <w:tbl>
      <w:tblPr>
        <w:tblW w:w="3935" w:type="dxa"/>
        <w:jc w:val="left"/>
        <w:tblInd w:w="61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35"/>
      </w:tblGrid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39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андартный HTML"/>
              <w:tabs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Приложение к постановлению аппарата Совета депутатов внутригородского муниципального образования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муниципального округа Ивановское в городе Москве</w:t>
            </w:r>
          </w:p>
          <w:p>
            <w:pPr>
              <w:pStyle w:val="Стандартный HTML"/>
              <w:tabs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left" w:pos="9275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года №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02-04-02/___</w:t>
            </w:r>
          </w:p>
        </w:tc>
      </w:tr>
    </w:tbl>
    <w:p>
      <w:pPr>
        <w:pStyle w:val="Стандартный HTML"/>
        <w:widowControl w:val="0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062" w:hanging="6062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Порядок составления и ведения кассового плана исполнения бюджета внутригородского муниципального образования </w:t>
      </w:r>
      <w:r>
        <w:rPr>
          <w:rStyle w:val="Нет"/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муниципального округа Ивановское в городе Москве</w:t>
      </w:r>
    </w:p>
    <w:p>
      <w:pPr>
        <w:pStyle w:val="Стандартный HTML"/>
        <w:tabs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Стандартный HTML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Общие положения</w:t>
      </w:r>
    </w:p>
    <w:p>
      <w:pPr>
        <w:pStyle w:val="Стандартный HTML"/>
        <w:tabs>
          <w:tab w:val="left" w:pos="42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65" w:firstLine="0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</w:rPr>
        <w:tab/>
        <w:tab/>
        <w:tab/>
        <w:tab/>
        <w:tab/>
        <w:tab/>
        <w:tab/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1.1. </w:t>
      </w:r>
      <w:r>
        <w:rPr>
          <w:rStyle w:val="Нет"/>
          <w:rtl w:val="0"/>
          <w:lang w:val="ru-RU"/>
        </w:rPr>
        <w:t xml:space="preserve">Настоящий Порядок составления и ведения кассового плана исполнения бюджета внутригородского муниципального образования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 xml:space="preserve">муниципального округа Ивановское в городе Москве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далее – Порядок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муниципальный округ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 xml:space="preserve">разработан на основании статьи </w:t>
      </w:r>
      <w:r>
        <w:rPr>
          <w:rStyle w:val="Нет"/>
          <w:rtl w:val="0"/>
          <w:lang w:val="ru-RU"/>
        </w:rPr>
        <w:t xml:space="preserve">217.1 </w:t>
      </w:r>
      <w:r>
        <w:rPr>
          <w:rStyle w:val="Нет"/>
          <w:rtl w:val="0"/>
          <w:lang w:val="ru-RU"/>
        </w:rPr>
        <w:t xml:space="preserve">Бюджетного кодекса Российской Федерации и устанавливает правила формирования и ведения кассового плана исполнения бюджета муниципального округа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 xml:space="preserve">далее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кассовый план</w:t>
      </w:r>
      <w:r>
        <w:rPr>
          <w:rStyle w:val="Нет"/>
          <w:rtl w:val="0"/>
          <w:lang w:val="ru-RU"/>
        </w:rPr>
        <w:t>).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1.2. </w:t>
      </w:r>
      <w:r>
        <w:rPr>
          <w:rStyle w:val="Нет"/>
          <w:rtl w:val="0"/>
          <w:lang w:val="ru-RU"/>
        </w:rPr>
        <w:t xml:space="preserve">Кассовый план представляет собой прогноз поступлений в бюджет муниципального округа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 xml:space="preserve">далее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местный бюджет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 xml:space="preserve">и перечислений из местного бюджета в текущем финансовом году </w:t>
      </w:r>
      <w:r>
        <w:rPr>
          <w:rStyle w:val="Нет"/>
          <w:rtl w:val="0"/>
          <w:lang w:val="ru-RU"/>
        </w:rPr>
        <w:t>в целях определения прогнозного состояния единого счета местного бюджета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включая временный кассовый разрыв и</w:t>
      </w:r>
      <w:r>
        <w:rPr>
          <w:rStyle w:val="Нет"/>
          <w:i w:val="1"/>
          <w:iCs w:val="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 xml:space="preserve">объем </w:t>
      </w:r>
      <w:r>
        <w:rPr>
          <w:rStyle w:val="Нет"/>
          <w:rtl w:val="0"/>
          <w:lang w:val="ru-RU"/>
        </w:rPr>
        <w:t>временно свободных</w:t>
      </w:r>
      <w:r>
        <w:rPr>
          <w:rStyle w:val="Нет"/>
          <w:i w:val="1"/>
          <w:iCs w:val="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средств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1.3. </w:t>
      </w:r>
      <w:r>
        <w:rPr>
          <w:rStyle w:val="Нет"/>
          <w:rtl w:val="0"/>
          <w:lang w:val="ru-RU"/>
        </w:rPr>
        <w:t>В составе прогноза поступлений в местный бюджет отражается общая сумма доходов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межбюджетных трансфертов и поступлений источников финансирования дефицита местного бюджета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в составе перечислений из местного бюджета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общий объем расходов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1.4. </w:t>
      </w:r>
      <w:r>
        <w:rPr>
          <w:rStyle w:val="Нет"/>
          <w:rtl w:val="0"/>
          <w:lang w:val="ru-RU"/>
        </w:rPr>
        <w:t>Кассовый план используется в целях обеспечения полной и своевременной оплаты всех предусмотренных на текущий финансовый год бюджетных обязательств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1.5. </w:t>
      </w:r>
      <w:r>
        <w:rPr>
          <w:rStyle w:val="Нет"/>
          <w:rtl w:val="0"/>
          <w:lang w:val="ru-RU"/>
        </w:rPr>
        <w:t>Кассовый план составляется в валюте Российской Федерации в тысячах рублей по форме согласно приложению к настоящему Порядку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jc w:val="center"/>
        <w:outlineLvl w:val="0"/>
        <w:rPr>
          <w:rStyle w:val="Нет"/>
          <w:b w:val="1"/>
          <w:bCs w:val="1"/>
        </w:rPr>
      </w:pPr>
    </w:p>
    <w:p>
      <w:pPr>
        <w:pStyle w:val="ConsPlusNormal"/>
        <w:jc w:val="center"/>
        <w:outlineLvl w:val="0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 xml:space="preserve">2.   </w:t>
      </w:r>
      <w:r>
        <w:rPr>
          <w:rStyle w:val="Нет"/>
          <w:b w:val="1"/>
          <w:bCs w:val="1"/>
          <w:rtl w:val="0"/>
          <w:lang w:val="ru-RU"/>
        </w:rPr>
        <w:t>Порядок составления кассового плана на текущий финансовый год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2.1. </w:t>
      </w:r>
      <w:r>
        <w:rPr>
          <w:rStyle w:val="Нет"/>
          <w:rtl w:val="0"/>
          <w:lang w:val="ru-RU"/>
        </w:rPr>
        <w:t xml:space="preserve">При формировании кассового плана на текущий финансовый год аппарат Совета депутатов внутригородского муниципального образования – муниципального округа Ивановское в городе Москве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далее – аппарат Совета депутатов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основывается на следующих сведениях</w:t>
      </w:r>
      <w:r>
        <w:rPr>
          <w:rStyle w:val="Нет"/>
          <w:rtl w:val="0"/>
          <w:lang w:val="ru-RU"/>
        </w:rPr>
        <w:t xml:space="preserve">: 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 – поквартальное распределение прогноза поступлений в местный бюджет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утвержденных на очередной финансовый год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разрезе кодов бюджетной классификации</w:t>
      </w:r>
      <w:r>
        <w:rPr>
          <w:rStyle w:val="Нет"/>
          <w:rtl w:val="0"/>
          <w:lang w:val="ru-RU"/>
        </w:rPr>
        <w:t>;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>– поквартальное распределение прогноза поступлений в местный бюджет и  перечислений из местного бюджета по источникам финансирования дефицита бюджета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утвержденных на очередной финансовый год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разрезе кодов бюджетной классификации</w:t>
      </w:r>
      <w:r>
        <w:rPr>
          <w:rStyle w:val="Нет"/>
          <w:rtl w:val="0"/>
          <w:lang w:val="ru-RU"/>
        </w:rPr>
        <w:t>;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поквартальное распределение прогноза перечислений из местного бюджета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утвержденных на очередной финансовый год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разрезе кодов бюджетной классификации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2.2. </w:t>
      </w:r>
      <w:r>
        <w:rPr>
          <w:rStyle w:val="Нет"/>
          <w:rtl w:val="0"/>
          <w:lang w:val="ru-RU"/>
        </w:rPr>
        <w:t xml:space="preserve">Общая сумма прогнозируемых перечислений из местного бюджета должна соответствовать сумме бюджетных ассигнований 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или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лимитов бюджетных обязательств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утвержденных на очередной финансовый год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bookmarkStart w:name="Par5" w:id="0"/>
      <w:bookmarkEnd w:id="0"/>
      <w:r>
        <w:rPr>
          <w:rStyle w:val="Нет"/>
          <w:rtl w:val="0"/>
          <w:lang w:val="ru-RU"/>
        </w:rPr>
        <w:t>2</w:t>
      </w:r>
      <w:r>
        <w:rPr>
          <w:rStyle w:val="Нет"/>
          <w:rtl w:val="0"/>
          <w:lang w:val="ru-RU"/>
        </w:rPr>
        <w:t xml:space="preserve">.3. </w:t>
      </w:r>
      <w:r>
        <w:rPr>
          <w:rStyle w:val="Нет"/>
          <w:rtl w:val="0"/>
          <w:lang w:val="ru-RU"/>
        </w:rPr>
        <w:t xml:space="preserve">Аппарат Совета депутатов формирует кассовый план на текущий финансовый год в срок до </w:t>
      </w:r>
      <w:r>
        <w:rPr>
          <w:rStyle w:val="Нет"/>
          <w:rtl w:val="0"/>
          <w:lang w:val="ru-RU"/>
        </w:rPr>
        <w:t xml:space="preserve">31 </w:t>
      </w:r>
      <w:r>
        <w:rPr>
          <w:rStyle w:val="Нет"/>
          <w:rtl w:val="0"/>
          <w:lang w:val="ru-RU"/>
        </w:rPr>
        <w:t>декабря предыдущего финансового года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2.4. </w:t>
      </w:r>
      <w:r>
        <w:rPr>
          <w:rStyle w:val="Нет"/>
          <w:rtl w:val="0"/>
          <w:lang w:val="ru-RU"/>
        </w:rPr>
        <w:t>Кассовый план утверждается постановлением аппарата Совета депутатов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jc w:val="center"/>
        <w:outlineLvl w:val="0"/>
      </w:pPr>
    </w:p>
    <w:p>
      <w:pPr>
        <w:pStyle w:val="ConsPlusNormal"/>
        <w:jc w:val="center"/>
        <w:outlineLvl w:val="0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 xml:space="preserve">3. </w:t>
      </w:r>
      <w:r>
        <w:rPr>
          <w:rStyle w:val="Нет"/>
          <w:b w:val="1"/>
          <w:bCs w:val="1"/>
          <w:rtl w:val="0"/>
          <w:lang w:val="ru-RU"/>
        </w:rPr>
        <w:t>Внесение изменений и уточнений в показатели</w:t>
      </w:r>
    </w:p>
    <w:p>
      <w:pPr>
        <w:pStyle w:val="ConsPlusNormal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кассового плана на текущий  финансовый год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3.1. </w:t>
      </w:r>
      <w:r>
        <w:rPr>
          <w:rStyle w:val="Нет"/>
          <w:rtl w:val="0"/>
          <w:lang w:val="ru-RU"/>
        </w:rPr>
        <w:t>Внесение изменений в показатели кассового плана на текущий финансовый год производится по мере изменения бюджетных показателей в соответствии с положениями Бюджетного кодекса Российской Федерации и в пределах предоставленных аппарату Совета депутатов полномочий по внесению изменений в сводную бюджетную роспись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bookmarkStart w:name="Par10" w:id="1"/>
      <w:bookmarkEnd w:id="1"/>
      <w:r>
        <w:rPr>
          <w:rStyle w:val="Нет"/>
          <w:rtl w:val="0"/>
          <w:lang w:val="ru-RU"/>
        </w:rPr>
        <w:t>3</w:t>
      </w:r>
      <w:r>
        <w:rPr>
          <w:rStyle w:val="Нет"/>
          <w:rtl w:val="0"/>
          <w:lang w:val="ru-RU"/>
        </w:rPr>
        <w:t xml:space="preserve">.2. </w:t>
      </w:r>
      <w:r>
        <w:rPr>
          <w:rStyle w:val="Нет"/>
          <w:rtl w:val="0"/>
          <w:lang w:val="ru-RU"/>
        </w:rPr>
        <w:t>Уточнение показателей кассового плана осуществляется с учетом фактических данных об исполнении местного бюджета за истекший период и прогнозных показателей планируемого периода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ind w:firstLine="540"/>
        <w:jc w:val="both"/>
      </w:pPr>
      <w:r>
        <w:rPr>
          <w:rStyle w:val="Нет"/>
          <w:rtl w:val="0"/>
          <w:lang w:val="ru-RU"/>
        </w:rPr>
        <w:t xml:space="preserve">3.3. </w:t>
      </w:r>
      <w:r>
        <w:rPr>
          <w:rStyle w:val="Нет"/>
          <w:rtl w:val="0"/>
          <w:lang w:val="ru-RU"/>
        </w:rPr>
        <w:t>Средства местного бюджета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неиспользованные в текущем квартале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подлежат включению в следующий период</w:t>
      </w:r>
      <w:r>
        <w:rPr>
          <w:rStyle w:val="Нет"/>
          <w:rtl w:val="0"/>
          <w:lang w:val="ru-RU"/>
        </w:rPr>
        <w:t>.</w:t>
      </w:r>
    </w:p>
    <w:p>
      <w:pPr>
        <w:pStyle w:val="ConsPlusNormal"/>
        <w:jc w:val="center"/>
        <w:outlineLvl w:val="0"/>
        <w:rPr>
          <w:rStyle w:val="Нет"/>
          <w:b w:val="1"/>
          <w:bCs w:val="1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tbl>
      <w:tblPr>
        <w:tblW w:w="3652" w:type="dxa"/>
        <w:jc w:val="left"/>
        <w:tblInd w:w="64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52"/>
      </w:tblGrid>
      <w:tr>
        <w:tblPrEx>
          <w:shd w:val="clear" w:color="auto" w:fill="ced7e7"/>
        </w:tblPrEx>
        <w:trPr>
          <w:trHeight w:val="2090" w:hRule="atLeast"/>
        </w:trPr>
        <w:tc>
          <w:tcPr>
            <w:tcW w:type="dxa" w:w="36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Приложение к Порядку составления и ведения кассового плана исполнения бюджета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муниципального округа Ивановское в городе Москве</w:t>
            </w:r>
          </w:p>
        </w:tc>
      </w:tr>
    </w:tbl>
    <w:p>
      <w:pPr>
        <w:pStyle w:val="ConsPlusNormal"/>
        <w:widowControl w:val="0"/>
        <w:ind w:left="6345" w:hanging="6345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Кассовый план бюджета внутригородского муниципального образования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муниципального округа Ивановское в городе Москве на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_______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год</w:t>
      </w:r>
    </w:p>
    <w:p>
      <w:pPr>
        <w:pStyle w:val="ConsPlusNormal"/>
        <w:ind w:firstLine="540"/>
        <w:jc w:val="both"/>
        <w:rPr>
          <w:rStyle w:val="Нет"/>
          <w:sz w:val="24"/>
          <w:szCs w:val="24"/>
        </w:rPr>
      </w:pPr>
    </w:p>
    <w:tbl>
      <w:tblPr>
        <w:tblW w:w="99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98"/>
        <w:gridCol w:w="4999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Код главного распорядителя средств бюджета </w:t>
            </w:r>
          </w:p>
        </w:tc>
        <w:tc>
          <w:tcPr>
            <w:tcW w:type="dxa" w:w="4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900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Главный распорядитель средств бюджета </w:t>
            </w:r>
          </w:p>
        </w:tc>
        <w:tc>
          <w:tcPr>
            <w:tcW w:type="dxa" w:w="4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Аппарат Совета депутатов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муниципального округа Ивановское в городе Москве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Лицевой счет</w:t>
            </w:r>
          </w:p>
        </w:tc>
        <w:tc>
          <w:tcPr>
            <w:tcW w:type="dxa" w:w="4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0190030567630058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Единица измерения</w:t>
            </w:r>
          </w:p>
        </w:tc>
        <w:tc>
          <w:tcPr>
            <w:tcW w:type="dxa" w:w="49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тыс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руб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ConsPlusNormal"/>
        <w:widowControl w:val="0"/>
        <w:jc w:val="both"/>
        <w:rPr>
          <w:rStyle w:val="Нет"/>
          <w:sz w:val="24"/>
          <w:szCs w:val="24"/>
        </w:rPr>
      </w:pPr>
    </w:p>
    <w:p>
      <w:pPr>
        <w:pStyle w:val="ConsPlusNormal"/>
        <w:ind w:firstLine="540"/>
        <w:jc w:val="both"/>
        <w:rPr>
          <w:rStyle w:val="Нет"/>
          <w:sz w:val="24"/>
          <w:szCs w:val="24"/>
        </w:rPr>
      </w:pPr>
      <w:r>
        <w:rPr>
          <w:rStyle w:val="Нет"/>
          <w:sz w:val="24"/>
          <w:szCs w:val="24"/>
          <w:rtl w:val="0"/>
          <w:lang w:val="ru-RU"/>
        </w:rPr>
        <w:t xml:space="preserve">Прогноз поступлений в бюджет внутригородского муниципального образования </w:t>
      </w:r>
      <w:r>
        <w:rPr>
          <w:rStyle w:val="Нет"/>
          <w:sz w:val="24"/>
          <w:szCs w:val="24"/>
          <w:rtl w:val="0"/>
          <w:lang w:val="ru-RU"/>
        </w:rPr>
        <w:t xml:space="preserve">- </w:t>
      </w:r>
      <w:r>
        <w:rPr>
          <w:rStyle w:val="Нет"/>
          <w:sz w:val="24"/>
          <w:szCs w:val="24"/>
          <w:rtl w:val="0"/>
          <w:lang w:val="ru-RU"/>
        </w:rPr>
        <w:t>муниципального округа Ивановское в городе Москве</w:t>
      </w:r>
    </w:p>
    <w:tbl>
      <w:tblPr>
        <w:tblW w:w="99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27"/>
        <w:gridCol w:w="2410"/>
        <w:gridCol w:w="1275"/>
        <w:gridCol w:w="993"/>
        <w:gridCol w:w="1134"/>
        <w:gridCol w:w="95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Реквизиты лицевых счетов получателей бюджетных средств</w:t>
            </w:r>
          </w:p>
        </w:tc>
        <w:tc>
          <w:tcPr>
            <w:tcW w:type="dxa" w:w="24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Планируемые поступления в бюджет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муниципального округа Ивановское в городе Москве на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_______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4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том числе по кварталам</w:t>
            </w:r>
          </w:p>
        </w:tc>
      </w:tr>
      <w:tr>
        <w:tblPrEx>
          <w:shd w:val="clear" w:color="auto" w:fill="ced7e7"/>
        </w:tblPrEx>
        <w:trPr>
          <w:trHeight w:val="2540" w:hRule="atLeast"/>
        </w:trPr>
        <w:tc>
          <w:tcPr>
            <w:tcW w:type="dxa" w:w="32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3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Аппарат Совета депутатов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муниципального округа Ивановское в городе Москве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76" w:lineRule="auto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Лицевой счет №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4733900330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из них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КБК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nsPlusNormal"/>
        <w:widowControl w:val="0"/>
        <w:jc w:val="both"/>
        <w:rPr>
          <w:rStyle w:val="Нет"/>
          <w:sz w:val="24"/>
          <w:szCs w:val="24"/>
        </w:rPr>
      </w:pPr>
    </w:p>
    <w:p>
      <w:pPr>
        <w:pStyle w:val="ConsPlusNormal"/>
        <w:ind w:firstLine="540"/>
        <w:jc w:val="both"/>
        <w:rPr>
          <w:rStyle w:val="Нет"/>
          <w:sz w:val="24"/>
          <w:szCs w:val="24"/>
        </w:rPr>
      </w:pPr>
      <w:r>
        <w:rPr>
          <w:rStyle w:val="Нет"/>
          <w:sz w:val="24"/>
          <w:szCs w:val="24"/>
          <w:rtl w:val="0"/>
          <w:lang w:val="ru-RU"/>
        </w:rPr>
        <w:t xml:space="preserve">Прогноз перечислений из бюджета внутригородского муниципального образования </w:t>
      </w:r>
      <w:r>
        <w:rPr>
          <w:rStyle w:val="Нет"/>
          <w:sz w:val="24"/>
          <w:szCs w:val="24"/>
          <w:rtl w:val="0"/>
          <w:lang w:val="ru-RU"/>
        </w:rPr>
        <w:t xml:space="preserve">- </w:t>
      </w:r>
      <w:r>
        <w:rPr>
          <w:rStyle w:val="Нет"/>
          <w:sz w:val="24"/>
          <w:szCs w:val="24"/>
          <w:rtl w:val="0"/>
          <w:lang w:val="ru-RU"/>
        </w:rPr>
        <w:t>муниципального округа Ивановское в городе Москве</w:t>
      </w:r>
    </w:p>
    <w:tbl>
      <w:tblPr>
        <w:tblW w:w="99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27"/>
        <w:gridCol w:w="2410"/>
        <w:gridCol w:w="1275"/>
        <w:gridCol w:w="993"/>
        <w:gridCol w:w="1134"/>
        <w:gridCol w:w="95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Реквизиты лицевых счетов получателей бюджетных средств</w:t>
            </w:r>
          </w:p>
        </w:tc>
        <w:tc>
          <w:tcPr>
            <w:tcW w:type="dxa" w:w="24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Планируемые перечисления из бюджета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муниципального округа Ивановское в городе Москве на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_______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год</w:t>
            </w:r>
          </w:p>
        </w:tc>
        <w:tc>
          <w:tcPr>
            <w:tcW w:type="dxa" w:w="4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том числе по кварталам</w:t>
            </w:r>
          </w:p>
        </w:tc>
      </w:tr>
      <w:tr>
        <w:tblPrEx>
          <w:shd w:val="clear" w:color="auto" w:fill="ced7e7"/>
        </w:tblPrEx>
        <w:trPr>
          <w:trHeight w:val="2540" w:hRule="atLeast"/>
        </w:trPr>
        <w:tc>
          <w:tcPr>
            <w:tcW w:type="dxa" w:w="32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3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Аппарат Совета депутатов внутригородского муниципального образования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муниципального округа Ивановское в городе Москве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276" w:lineRule="auto"/>
              <w:rPr>
                <w:rStyle w:val="Нет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Лицевой счет № </w:t>
            </w: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0390030567630058</w:t>
            </w:r>
          </w:p>
          <w:p>
            <w:pPr>
              <w:pStyle w:val="ConsPlusNorma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из них</w:t>
            </w: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>КБК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nsPlusNormal"/>
        <w:widowControl w:val="0"/>
        <w:jc w:val="both"/>
        <w:rPr>
          <w:rStyle w:val="Нет"/>
          <w:sz w:val="24"/>
          <w:szCs w:val="24"/>
        </w:rPr>
      </w:pPr>
    </w:p>
    <w:p>
      <w:pPr>
        <w:pStyle w:val="ConsPlusNormal"/>
        <w:ind w:firstLine="540"/>
        <w:jc w:val="both"/>
        <w:rPr>
          <w:rStyle w:val="Нет"/>
          <w:sz w:val="24"/>
          <w:szCs w:val="24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567" w:right="991" w:bottom="567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58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097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4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47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24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19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744" w:hanging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291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464" w:hanging="1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363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184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35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04" w:hanging="1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07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24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5794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344" w:hanging="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8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0" w:firstLine="1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126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5496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846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412" w:firstLine="1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num" w:pos="7569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86" w:firstLine="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8244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8006" w:hanging="23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left" w:pos="9160"/>
          <w:tab w:val="left" w:pos="9275"/>
          <w:tab w:val="left" w:pos="9275"/>
          <w:tab w:val="left" w:pos="9275"/>
          <w:tab w:val="left" w:pos="9275"/>
          <w:tab w:val="left" w:pos="9275"/>
          <w:tab w:val="left" w:pos="9275"/>
          <w:tab w:val="clear" w:pos="3664"/>
          <w:tab w:val="clear" w:pos="458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8726" w:hanging="4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16"/>
          <w:tab w:val="left" w:pos="1832"/>
          <w:tab w:val="left" w:pos="2748"/>
          <w:tab w:val="left" w:pos="3261"/>
          <w:tab w:val="left" w:pos="3969"/>
          <w:tab w:val="left" w:pos="4260"/>
          <w:tab w:val="left" w:pos="5496"/>
          <w:tab w:val="left" w:pos="6412"/>
          <w:tab w:val="left" w:pos="7328"/>
          <w:tab w:val="left" w:pos="8244"/>
          <w:tab w:val="clear" w:pos="3664"/>
          <w:tab w:val="clear" w:pos="4580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9446" w:hanging="5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Стандартный HTML">
    <w:name w:val="Стандартный HTML"/>
    <w:next w:val="Стандартный HTML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00"/>
      <w:u w:val="none" w:color="000000"/>
      <w:lang w:val="en-US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