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СОВЕТ ДЕПУТАТОВ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РЕШЕНИЕ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05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2024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года №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32/6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tbl>
      <w:tblPr>
        <w:tblW w:w="54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5"/>
      </w:tblGrid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54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 направлении средств стимулирования на реализацию мероприятий по благоустройству дворовых территорий района Ивановское города Москвы</w:t>
            </w:r>
          </w:p>
        </w:tc>
      </w:tr>
    </w:tbl>
    <w:p>
      <w:pPr>
        <w:pStyle w:val="Обычный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постановлением Правительства Москвы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849-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ПП «О стимулировании территориальных органов исполнительной власти города Москвы»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рассмотрев обращение управы района Ивановское города Москвы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№ 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-15-69/24,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Совет депутатов муниципального округа Ивановское решил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Согласовать направление средств стимулирования на реализацию мероприятий по благоустройству дворовых территорий района Ивановское города Москвы согласно приложению к настоящему решению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"http://www.mo-ivanovskoe.ru"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mo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ivanovskoe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Направить настоящее решение в управу района Ивановское города Москвы</w:t>
        <w:br w:type="textWrapping"/>
        <w:t>и Департамент территориальных органов исполнительной власти города Москвы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widowControl w:val="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</w:p>
    <w:p>
      <w:pPr>
        <w:pStyle w:val="Обычный"/>
        <w:spacing w:after="0" w:line="240" w:lineRule="auto"/>
        <w:jc w:val="both"/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муниципального округа Ивановское      </w:t>
        <w:tab/>
        <w:tab/>
        <w:tab/>
        <w:t xml:space="preserve">                   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Громов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jc w:val="both"/>
      </w:pPr>
    </w:p>
    <w:p>
      <w:pPr>
        <w:pStyle w:val="Обычный"/>
        <w:spacing w:after="0" w:line="240" w:lineRule="auto"/>
        <w:ind w:left="6804" w:firstLine="0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spacing w:after="0" w:line="240" w:lineRule="auto"/>
        <w:ind w:left="6804" w:firstLine="0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Приложение </w:t>
      </w:r>
    </w:p>
    <w:p>
      <w:pPr>
        <w:pStyle w:val="Обычный"/>
        <w:spacing w:after="0" w:line="240" w:lineRule="auto"/>
        <w:ind w:left="6804" w:firstLine="0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 решению Совета депутатов </w:t>
      </w:r>
    </w:p>
    <w:p>
      <w:pPr>
        <w:pStyle w:val="Обычный"/>
        <w:spacing w:after="0" w:line="240" w:lineRule="auto"/>
        <w:ind w:left="6804" w:firstLine="0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spacing w:after="0" w:line="240" w:lineRule="auto"/>
        <w:ind w:left="6804" w:firstLine="0"/>
        <w:jc w:val="both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32/6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Мероприятия</w:t>
      </w: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благоустройству дворовых территорий района Ивановское </w:t>
      </w: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 счет средств стимулирования в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году</w:t>
      </w:r>
    </w:p>
    <w:p>
      <w:pPr>
        <w:pStyle w:val="Обычный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3"/>
        <w:gridCol w:w="2695"/>
        <w:gridCol w:w="4536"/>
        <w:gridCol w:w="2544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Адрес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объекта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Функциональное назначение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планируемых работ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Ориентировочная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стоимость работ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Энтузиастов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 100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.100,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2, 5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Сталеваров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4,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2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Установка искусственных неровностей на дворовых проездах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614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820,00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ул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Челябинская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16, 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корп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 2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Ремонт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устройство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асфальтобетонного покрытия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установка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замена бортового камня</w:t>
            </w:r>
            <w:r>
              <w:rPr>
                <w:rStyle w:val="Нет"/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342</w:t>
            </w:r>
            <w:r>
              <w:rPr>
                <w:rStyle w:val="Нет"/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526,38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77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right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ИТОГО по всем объектам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957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346,38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both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680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</w:r>
    <w:r>
      <w:rPr>
        <w:rFonts w:ascii="Times New Roman" w:hAnsi="Times New Roman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